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74004" w14:textId="489FD804" w:rsidR="003373D7" w:rsidRDefault="00E42F64" w:rsidP="003373D7">
      <w:pPr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 xml:space="preserve">Family Ministry </w:t>
      </w:r>
      <w:r w:rsidR="004245D7">
        <w:rPr>
          <w:rFonts w:ascii="Montserrat" w:hAnsi="Montserrat"/>
          <w:b/>
          <w:sz w:val="20"/>
          <w:szCs w:val="20"/>
        </w:rPr>
        <w:t xml:space="preserve">Parent </w:t>
      </w:r>
      <w:r>
        <w:rPr>
          <w:rFonts w:ascii="Montserrat" w:hAnsi="Montserrat"/>
          <w:b/>
          <w:sz w:val="20"/>
          <w:szCs w:val="20"/>
        </w:rPr>
        <w:t xml:space="preserve">Communication </w:t>
      </w:r>
    </w:p>
    <w:p w14:paraId="30AB5783" w14:textId="7D3EF31D" w:rsidR="00E42F64" w:rsidRPr="00E42F64" w:rsidRDefault="00E42F64" w:rsidP="003373D7">
      <w:pPr>
        <w:rPr>
          <w:rFonts w:ascii="Montserrat" w:hAnsi="Montserrat"/>
          <w:b/>
          <w:sz w:val="20"/>
          <w:szCs w:val="20"/>
        </w:rPr>
      </w:pPr>
      <w:r w:rsidRPr="00E42F64">
        <w:rPr>
          <w:rFonts w:ascii="Montserrat" w:hAnsi="Montserrat"/>
          <w:b/>
          <w:sz w:val="20"/>
          <w:szCs w:val="20"/>
        </w:rPr>
        <w:t xml:space="preserve">Vision Doc </w:t>
      </w:r>
    </w:p>
    <w:p w14:paraId="1D6FB192" w14:textId="77777777" w:rsidR="003373D7" w:rsidRDefault="003373D7" w:rsidP="003373D7">
      <w:pPr>
        <w:rPr>
          <w:rFonts w:ascii="Montserrat" w:hAnsi="Montserrat"/>
          <w:sz w:val="20"/>
          <w:szCs w:val="20"/>
        </w:rPr>
      </w:pPr>
    </w:p>
    <w:p w14:paraId="02D4E5C4" w14:textId="4C2EF43E" w:rsidR="00E42F64" w:rsidRPr="00E42F64" w:rsidRDefault="003373D7" w:rsidP="00E42F64">
      <w:pPr>
        <w:rPr>
          <w:rFonts w:ascii="Montserrat" w:hAnsi="Montserrat"/>
          <w:sz w:val="20"/>
          <w:szCs w:val="20"/>
        </w:rPr>
      </w:pPr>
      <w:r w:rsidRPr="004C13D9">
        <w:rPr>
          <w:rFonts w:ascii="Montserrat" w:hAnsi="Montserrat"/>
          <w:b/>
          <w:sz w:val="20"/>
          <w:szCs w:val="20"/>
        </w:rPr>
        <w:t>Bottom Line</w:t>
      </w:r>
      <w:r w:rsidR="00E42F64">
        <w:rPr>
          <w:rFonts w:ascii="Montserrat" w:hAnsi="Montserrat"/>
          <w:b/>
          <w:sz w:val="20"/>
          <w:szCs w:val="20"/>
        </w:rPr>
        <w:t xml:space="preserve"> – </w:t>
      </w:r>
      <w:r w:rsidR="00E42F64">
        <w:rPr>
          <w:rFonts w:ascii="Montserrat" w:hAnsi="Montserrat"/>
          <w:sz w:val="20"/>
          <w:szCs w:val="20"/>
        </w:rPr>
        <w:t xml:space="preserve">To enhance our Partner with Parents strategy, Family Ministry will communicate </w:t>
      </w:r>
      <w:r w:rsidR="00FA1E9F">
        <w:rPr>
          <w:rFonts w:ascii="Montserrat" w:hAnsi="Montserrat"/>
          <w:sz w:val="20"/>
          <w:szCs w:val="20"/>
        </w:rPr>
        <w:t>using a</w:t>
      </w:r>
      <w:r w:rsidR="006C06A6">
        <w:rPr>
          <w:rFonts w:ascii="Montserrat" w:hAnsi="Montserrat"/>
          <w:sz w:val="20"/>
          <w:szCs w:val="20"/>
        </w:rPr>
        <w:t xml:space="preserve"> </w:t>
      </w:r>
      <w:r w:rsidR="00E42F64">
        <w:rPr>
          <w:rFonts w:ascii="Montserrat" w:hAnsi="Montserrat"/>
          <w:sz w:val="20"/>
          <w:szCs w:val="20"/>
        </w:rPr>
        <w:t xml:space="preserve">monthly </w:t>
      </w:r>
      <w:r w:rsidR="0019396D">
        <w:rPr>
          <w:rFonts w:ascii="Montserrat" w:hAnsi="Montserrat"/>
          <w:sz w:val="20"/>
          <w:szCs w:val="20"/>
        </w:rPr>
        <w:t xml:space="preserve">video </w:t>
      </w:r>
      <w:r w:rsidR="00E42F64">
        <w:rPr>
          <w:rFonts w:ascii="Montserrat" w:hAnsi="Montserrat"/>
          <w:sz w:val="20"/>
          <w:szCs w:val="20"/>
        </w:rPr>
        <w:t>update to parents</w:t>
      </w:r>
      <w:r w:rsidR="0019396D">
        <w:rPr>
          <w:rFonts w:ascii="Montserrat" w:hAnsi="Montserrat"/>
          <w:sz w:val="20"/>
          <w:szCs w:val="20"/>
        </w:rPr>
        <w:t xml:space="preserve"> via email. </w:t>
      </w:r>
    </w:p>
    <w:p w14:paraId="0C3A0298" w14:textId="77777777" w:rsidR="003373D7" w:rsidRDefault="003373D7" w:rsidP="003373D7">
      <w:pPr>
        <w:rPr>
          <w:rFonts w:ascii="Montserrat" w:hAnsi="Montserrat"/>
          <w:sz w:val="20"/>
          <w:szCs w:val="20"/>
        </w:rPr>
      </w:pPr>
    </w:p>
    <w:p w14:paraId="28823705" w14:textId="77777777" w:rsidR="003373D7" w:rsidRDefault="003373D7" w:rsidP="003373D7">
      <w:pPr>
        <w:rPr>
          <w:rFonts w:ascii="Montserrat" w:hAnsi="Montserrat"/>
          <w:b/>
          <w:sz w:val="20"/>
          <w:szCs w:val="20"/>
        </w:rPr>
      </w:pPr>
      <w:r w:rsidRPr="004C13D9">
        <w:rPr>
          <w:rFonts w:ascii="Montserrat" w:hAnsi="Montserrat"/>
          <w:b/>
          <w:sz w:val="20"/>
          <w:szCs w:val="20"/>
        </w:rPr>
        <w:t>Goals</w:t>
      </w:r>
    </w:p>
    <w:p w14:paraId="553E747E" w14:textId="0DC24C81" w:rsidR="0019396D" w:rsidRPr="0019396D" w:rsidRDefault="00B6255D" w:rsidP="0019396D">
      <w:pPr>
        <w:pStyle w:val="ListParagraph"/>
        <w:numPr>
          <w:ilvl w:val="0"/>
          <w:numId w:val="2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Starting in December 2021, p</w:t>
      </w:r>
      <w:r w:rsidR="0019396D">
        <w:rPr>
          <w:rFonts w:ascii="Montserrat" w:hAnsi="Montserrat"/>
          <w:sz w:val="20"/>
          <w:szCs w:val="20"/>
        </w:rPr>
        <w:t xml:space="preserve">rovide a monthly </w:t>
      </w:r>
      <w:r w:rsidR="006C06A6">
        <w:rPr>
          <w:rFonts w:ascii="Montserrat" w:hAnsi="Montserrat"/>
          <w:sz w:val="20"/>
          <w:szCs w:val="20"/>
        </w:rPr>
        <w:t xml:space="preserve">video </w:t>
      </w:r>
      <w:r w:rsidR="0019396D">
        <w:rPr>
          <w:rFonts w:ascii="Montserrat" w:hAnsi="Montserrat"/>
          <w:sz w:val="20"/>
          <w:szCs w:val="20"/>
        </w:rPr>
        <w:t xml:space="preserve">update with series information, parent equipping/encouragement and event details. </w:t>
      </w:r>
    </w:p>
    <w:p w14:paraId="26857E54" w14:textId="5B14CA09" w:rsidR="003373D7" w:rsidRDefault="0019396D" w:rsidP="003373D7">
      <w:pPr>
        <w:pStyle w:val="ListParagraph"/>
        <w:numPr>
          <w:ilvl w:val="0"/>
          <w:numId w:val="2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Increase our open rate by providing a video update</w:t>
      </w:r>
      <w:r w:rsidR="006C06A6">
        <w:rPr>
          <w:rFonts w:ascii="Montserrat" w:hAnsi="Montserrat"/>
          <w:sz w:val="20"/>
          <w:szCs w:val="20"/>
        </w:rPr>
        <w:t xml:space="preserve">. </w:t>
      </w:r>
    </w:p>
    <w:p w14:paraId="7922F3C8" w14:textId="7108D4CC" w:rsidR="0019396D" w:rsidRDefault="0019396D" w:rsidP="003373D7">
      <w:pPr>
        <w:pStyle w:val="ListParagraph"/>
        <w:numPr>
          <w:ilvl w:val="0"/>
          <w:numId w:val="2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Promote</w:t>
      </w:r>
      <w:r w:rsidR="006C06A6">
        <w:rPr>
          <w:rFonts w:ascii="Montserrat" w:hAnsi="Montserrat"/>
          <w:sz w:val="20"/>
          <w:szCs w:val="20"/>
        </w:rPr>
        <w:t xml:space="preserve"> occasional</w:t>
      </w:r>
      <w:r>
        <w:rPr>
          <w:rFonts w:ascii="Montserrat" w:hAnsi="Montserrat"/>
          <w:sz w:val="20"/>
          <w:szCs w:val="20"/>
        </w:rPr>
        <w:t xml:space="preserve"> opt-in</w:t>
      </w:r>
      <w:r w:rsidR="006C06A6">
        <w:rPr>
          <w:rFonts w:ascii="Montserrat" w:hAnsi="Montserrat"/>
          <w:sz w:val="20"/>
          <w:szCs w:val="20"/>
        </w:rPr>
        <w:t>s</w:t>
      </w:r>
      <w:r>
        <w:rPr>
          <w:rFonts w:ascii="Montserrat" w:hAnsi="Montserrat"/>
          <w:sz w:val="20"/>
          <w:szCs w:val="20"/>
        </w:rPr>
        <w:t xml:space="preserve"> for parents to receive more encouragement and equipping from </w:t>
      </w:r>
      <w:r w:rsidR="006C06A6">
        <w:rPr>
          <w:rFonts w:ascii="Montserrat" w:hAnsi="Montserrat"/>
          <w:sz w:val="20"/>
          <w:szCs w:val="20"/>
        </w:rPr>
        <w:t>F</w:t>
      </w:r>
      <w:r>
        <w:rPr>
          <w:rFonts w:ascii="Montserrat" w:hAnsi="Montserrat"/>
          <w:sz w:val="20"/>
          <w:szCs w:val="20"/>
        </w:rPr>
        <w:t xml:space="preserve">amily </w:t>
      </w:r>
      <w:r w:rsidR="006C06A6">
        <w:rPr>
          <w:rFonts w:ascii="Montserrat" w:hAnsi="Montserrat"/>
          <w:sz w:val="20"/>
          <w:szCs w:val="20"/>
        </w:rPr>
        <w:t>M</w:t>
      </w:r>
      <w:r>
        <w:rPr>
          <w:rFonts w:ascii="Montserrat" w:hAnsi="Montserrat"/>
          <w:sz w:val="20"/>
          <w:szCs w:val="20"/>
        </w:rPr>
        <w:t>inistries to include:</w:t>
      </w:r>
    </w:p>
    <w:p w14:paraId="6AD38B99" w14:textId="19911DB6" w:rsidR="0019396D" w:rsidRDefault="0019396D" w:rsidP="0019396D">
      <w:pPr>
        <w:pStyle w:val="ListParagraph"/>
        <w:numPr>
          <w:ilvl w:val="1"/>
          <w:numId w:val="2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Parent Cue content </w:t>
      </w:r>
    </w:p>
    <w:p w14:paraId="6F2D928D" w14:textId="3F299751" w:rsidR="0019396D" w:rsidRDefault="0019396D" w:rsidP="0019396D">
      <w:pPr>
        <w:pStyle w:val="ListParagraph"/>
        <w:numPr>
          <w:ilvl w:val="1"/>
          <w:numId w:val="2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Series </w:t>
      </w:r>
      <w:r w:rsidR="006C06A6">
        <w:rPr>
          <w:rFonts w:ascii="Montserrat" w:hAnsi="Montserrat"/>
          <w:sz w:val="20"/>
          <w:szCs w:val="20"/>
        </w:rPr>
        <w:t xml:space="preserve">specific </w:t>
      </w:r>
      <w:r>
        <w:rPr>
          <w:rFonts w:ascii="Montserrat" w:hAnsi="Montserrat"/>
          <w:sz w:val="20"/>
          <w:szCs w:val="20"/>
        </w:rPr>
        <w:t xml:space="preserve">information </w:t>
      </w:r>
    </w:p>
    <w:p w14:paraId="072CFB59" w14:textId="3F0C59FA" w:rsidR="0019396D" w:rsidRDefault="0019396D" w:rsidP="0019396D">
      <w:pPr>
        <w:pStyle w:val="ListParagraph"/>
        <w:numPr>
          <w:ilvl w:val="1"/>
          <w:numId w:val="2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Event details and sign ups </w:t>
      </w:r>
    </w:p>
    <w:p w14:paraId="57E49F37" w14:textId="334D1216" w:rsidR="0019396D" w:rsidRDefault="006C06A6" w:rsidP="0019396D">
      <w:pPr>
        <w:pStyle w:val="ListParagraph"/>
        <w:numPr>
          <w:ilvl w:val="1"/>
          <w:numId w:val="2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T</w:t>
      </w:r>
      <w:r w:rsidR="0019396D">
        <w:rPr>
          <w:rFonts w:ascii="Montserrat" w:hAnsi="Montserrat"/>
          <w:sz w:val="20"/>
          <w:szCs w:val="20"/>
        </w:rPr>
        <w:t xml:space="preserve">ext/email campaigns </w:t>
      </w:r>
      <w:r w:rsidR="009C588E">
        <w:rPr>
          <w:rFonts w:ascii="Montserrat" w:hAnsi="Montserrat"/>
          <w:sz w:val="20"/>
          <w:szCs w:val="20"/>
        </w:rPr>
        <w:t xml:space="preserve">(Ex. Content from the Parent Strategic Focus) </w:t>
      </w:r>
    </w:p>
    <w:p w14:paraId="19CFC232" w14:textId="53832B84" w:rsidR="0019396D" w:rsidRPr="004C13D9" w:rsidRDefault="0019396D" w:rsidP="0019396D">
      <w:pPr>
        <w:pStyle w:val="ListParagraph"/>
        <w:numPr>
          <w:ilvl w:val="1"/>
          <w:numId w:val="2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Etc. </w:t>
      </w:r>
    </w:p>
    <w:p w14:paraId="06D7095E" w14:textId="77777777" w:rsidR="003373D7" w:rsidRDefault="003373D7" w:rsidP="003373D7">
      <w:pPr>
        <w:rPr>
          <w:rFonts w:ascii="Montserrat" w:hAnsi="Montserrat"/>
          <w:sz w:val="20"/>
          <w:szCs w:val="20"/>
        </w:rPr>
      </w:pPr>
    </w:p>
    <w:p w14:paraId="028F0676" w14:textId="77777777" w:rsidR="003373D7" w:rsidRDefault="003373D7" w:rsidP="003373D7">
      <w:pPr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Broad</w:t>
      </w:r>
      <w:r w:rsidRPr="004C13D9">
        <w:rPr>
          <w:rFonts w:ascii="Montserrat" w:hAnsi="Montserrat"/>
          <w:b/>
          <w:sz w:val="20"/>
          <w:szCs w:val="20"/>
        </w:rPr>
        <w:t xml:space="preserve"> FAQ’s</w:t>
      </w:r>
    </w:p>
    <w:p w14:paraId="05EB2594" w14:textId="77777777" w:rsidR="00767400" w:rsidRPr="00767400" w:rsidRDefault="0019396D" w:rsidP="00767400">
      <w:pPr>
        <w:pStyle w:val="ListParagraph"/>
        <w:numPr>
          <w:ilvl w:val="0"/>
          <w:numId w:val="3"/>
        </w:numPr>
        <w:rPr>
          <w:rFonts w:ascii="Montserrat" w:hAnsi="Montserrat"/>
          <w:i/>
          <w:sz w:val="20"/>
          <w:szCs w:val="20"/>
        </w:rPr>
      </w:pPr>
      <w:r w:rsidRPr="00767400">
        <w:rPr>
          <w:rFonts w:ascii="Montserrat" w:hAnsi="Montserrat"/>
          <w:i/>
          <w:sz w:val="20"/>
          <w:szCs w:val="20"/>
        </w:rPr>
        <w:t xml:space="preserve">What’s the best way to communicate with parents? </w:t>
      </w:r>
      <w:r w:rsidR="00767400" w:rsidRPr="00767400">
        <w:rPr>
          <w:rFonts w:ascii="Montserrat" w:hAnsi="Montserrat"/>
          <w:i/>
          <w:sz w:val="20"/>
          <w:szCs w:val="20"/>
        </w:rPr>
        <w:t xml:space="preserve">Is email outdated? </w:t>
      </w:r>
    </w:p>
    <w:p w14:paraId="05DA15AF" w14:textId="20239862" w:rsidR="00767400" w:rsidRPr="0019396D" w:rsidRDefault="00767400" w:rsidP="00767400">
      <w:pPr>
        <w:pStyle w:val="ListParagrap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According to current findings, email is still an industry standard for communication. With opt-in permission, we also look forward to </w:t>
      </w:r>
      <w:r w:rsidR="00B6255D">
        <w:rPr>
          <w:rFonts w:ascii="Montserrat" w:hAnsi="Montserrat"/>
          <w:sz w:val="20"/>
          <w:szCs w:val="20"/>
        </w:rPr>
        <w:t xml:space="preserve">experimenting with some </w:t>
      </w:r>
      <w:r w:rsidR="006C06A6">
        <w:rPr>
          <w:rFonts w:ascii="Montserrat" w:hAnsi="Montserrat"/>
          <w:sz w:val="20"/>
          <w:szCs w:val="20"/>
        </w:rPr>
        <w:t>more specific content.</w:t>
      </w:r>
      <w:r w:rsidR="00B6255D">
        <w:rPr>
          <w:rFonts w:ascii="Montserrat" w:hAnsi="Montserrat"/>
          <w:sz w:val="20"/>
          <w:szCs w:val="20"/>
        </w:rPr>
        <w:t xml:space="preserve"> Orange </w:t>
      </w:r>
      <w:r w:rsidR="006C06A6">
        <w:rPr>
          <w:rFonts w:ascii="Montserrat" w:hAnsi="Montserrat"/>
          <w:sz w:val="20"/>
          <w:szCs w:val="20"/>
        </w:rPr>
        <w:t>and our Parent Strategic Focus give us strategy for parent communication.</w:t>
      </w:r>
      <w:r w:rsidR="00B6255D">
        <w:rPr>
          <w:rFonts w:ascii="Montserrat" w:hAnsi="Montserrat"/>
          <w:sz w:val="20"/>
          <w:szCs w:val="20"/>
        </w:rPr>
        <w:t xml:space="preserve"> Social Media is another tool we use to communicate however this looks different as Kids/Student social audiences are not the same. </w:t>
      </w:r>
    </w:p>
    <w:p w14:paraId="0B58126C" w14:textId="24962DF3" w:rsidR="003373D7" w:rsidRPr="004245D7" w:rsidRDefault="003373D7" w:rsidP="00767400">
      <w:pPr>
        <w:pStyle w:val="ListParagraph"/>
        <w:rPr>
          <w:rFonts w:ascii="Montserrat" w:hAnsi="Montserrat"/>
          <w:b/>
          <w:i/>
          <w:sz w:val="20"/>
          <w:szCs w:val="20"/>
        </w:rPr>
      </w:pPr>
    </w:p>
    <w:p w14:paraId="306D93D4" w14:textId="72B2C20E" w:rsidR="0019396D" w:rsidRPr="004245D7" w:rsidRDefault="0019396D" w:rsidP="003373D7">
      <w:pPr>
        <w:pStyle w:val="ListParagraph"/>
        <w:numPr>
          <w:ilvl w:val="0"/>
          <w:numId w:val="3"/>
        </w:numPr>
        <w:rPr>
          <w:rFonts w:ascii="Montserrat" w:hAnsi="Montserrat"/>
          <w:i/>
          <w:sz w:val="20"/>
          <w:szCs w:val="20"/>
        </w:rPr>
      </w:pPr>
      <w:r w:rsidRPr="004245D7">
        <w:rPr>
          <w:rFonts w:ascii="Montserrat" w:hAnsi="Montserrat"/>
          <w:i/>
          <w:sz w:val="20"/>
          <w:szCs w:val="20"/>
        </w:rPr>
        <w:t>Who will film the monthly updates?</w:t>
      </w:r>
    </w:p>
    <w:p w14:paraId="4ECB9862" w14:textId="3A98D423" w:rsidR="00B6255D" w:rsidRDefault="00B6255D" w:rsidP="00B6255D">
      <w:pPr>
        <w:pStyle w:val="ListParagrap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The Senior Directors of Kids and Students will film on a regular basis. 2-3 minutes is the goal. </w:t>
      </w:r>
      <w:r w:rsidR="006C06A6">
        <w:rPr>
          <w:rFonts w:ascii="Montserrat" w:hAnsi="Montserrat"/>
          <w:sz w:val="20"/>
          <w:szCs w:val="20"/>
        </w:rPr>
        <w:t>Occasionally</w:t>
      </w:r>
      <w:r>
        <w:rPr>
          <w:rFonts w:ascii="Montserrat" w:hAnsi="Montserrat"/>
          <w:sz w:val="20"/>
          <w:szCs w:val="20"/>
        </w:rPr>
        <w:t xml:space="preserve"> other voices </w:t>
      </w:r>
      <w:r w:rsidR="006C06A6">
        <w:rPr>
          <w:rFonts w:ascii="Montserrat" w:hAnsi="Montserrat"/>
          <w:sz w:val="20"/>
          <w:szCs w:val="20"/>
        </w:rPr>
        <w:t>may be invited</w:t>
      </w:r>
      <w:r>
        <w:rPr>
          <w:rFonts w:ascii="Montserrat" w:hAnsi="Montserrat"/>
          <w:sz w:val="20"/>
          <w:szCs w:val="20"/>
        </w:rPr>
        <w:t xml:space="preserve"> </w:t>
      </w:r>
      <w:r w:rsidR="006C06A6">
        <w:rPr>
          <w:rFonts w:ascii="Montserrat" w:hAnsi="Montserrat"/>
          <w:sz w:val="20"/>
          <w:szCs w:val="20"/>
        </w:rPr>
        <w:t xml:space="preserve">to share </w:t>
      </w:r>
      <w:r>
        <w:rPr>
          <w:rFonts w:ascii="Montserrat" w:hAnsi="Montserrat"/>
          <w:sz w:val="20"/>
          <w:szCs w:val="20"/>
        </w:rPr>
        <w:t xml:space="preserve">specific vision or purpose. </w:t>
      </w:r>
    </w:p>
    <w:p w14:paraId="740398F2" w14:textId="77777777" w:rsidR="00B6255D" w:rsidRPr="0019396D" w:rsidRDefault="00B6255D" w:rsidP="00B6255D">
      <w:pPr>
        <w:pStyle w:val="ListParagraph"/>
        <w:rPr>
          <w:rFonts w:ascii="Montserrat" w:hAnsi="Montserrat"/>
          <w:sz w:val="20"/>
          <w:szCs w:val="20"/>
        </w:rPr>
      </w:pPr>
    </w:p>
    <w:p w14:paraId="58399BD7" w14:textId="77777777" w:rsidR="00B6255D" w:rsidRPr="004245D7" w:rsidRDefault="0019396D" w:rsidP="003373D7">
      <w:pPr>
        <w:pStyle w:val="ListParagraph"/>
        <w:numPr>
          <w:ilvl w:val="0"/>
          <w:numId w:val="3"/>
        </w:numPr>
        <w:rPr>
          <w:rFonts w:ascii="Montserrat" w:hAnsi="Montserrat"/>
          <w:i/>
          <w:sz w:val="20"/>
          <w:szCs w:val="20"/>
        </w:rPr>
      </w:pPr>
      <w:r w:rsidRPr="004245D7">
        <w:rPr>
          <w:rFonts w:ascii="Montserrat" w:hAnsi="Montserrat"/>
          <w:i/>
          <w:sz w:val="20"/>
          <w:szCs w:val="20"/>
        </w:rPr>
        <w:t>Who owns the relationship with parents, campus or central?</w:t>
      </w:r>
    </w:p>
    <w:p w14:paraId="2976CEE3" w14:textId="23783A9D" w:rsidR="004245D7" w:rsidRDefault="00B6255D" w:rsidP="004245D7">
      <w:pPr>
        <w:pStyle w:val="ListParagrap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One of our Family Ministry strategies is to Partner with Parents. While Campus Teams own the relationship between</w:t>
      </w:r>
      <w:r w:rsidR="006C06A6">
        <w:rPr>
          <w:rFonts w:ascii="Montserrat" w:hAnsi="Montserrat"/>
          <w:sz w:val="20"/>
          <w:szCs w:val="20"/>
        </w:rPr>
        <w:t xml:space="preserve"> Kid</w:t>
      </w:r>
      <w:r>
        <w:rPr>
          <w:rFonts w:ascii="Montserrat" w:hAnsi="Montserrat"/>
          <w:sz w:val="20"/>
          <w:szCs w:val="20"/>
        </w:rPr>
        <w:t>/</w:t>
      </w:r>
      <w:r w:rsidR="006C06A6">
        <w:rPr>
          <w:rFonts w:ascii="Montserrat" w:hAnsi="Montserrat"/>
          <w:sz w:val="20"/>
          <w:szCs w:val="20"/>
        </w:rPr>
        <w:t>S</w:t>
      </w:r>
      <w:r>
        <w:rPr>
          <w:rFonts w:ascii="Montserrat" w:hAnsi="Montserrat"/>
          <w:sz w:val="20"/>
          <w:szCs w:val="20"/>
        </w:rPr>
        <w:t>tudent and Parent (</w:t>
      </w:r>
      <w:r w:rsidR="006C06A6">
        <w:rPr>
          <w:rFonts w:ascii="Montserrat" w:hAnsi="Montserrat"/>
          <w:sz w:val="20"/>
          <w:szCs w:val="20"/>
        </w:rPr>
        <w:t>fostered</w:t>
      </w:r>
      <w:r>
        <w:rPr>
          <w:rFonts w:ascii="Montserrat" w:hAnsi="Montserrat"/>
          <w:sz w:val="20"/>
          <w:szCs w:val="20"/>
        </w:rPr>
        <w:t xml:space="preserve"> through Group Leaders) the Central Team owns broad vision and communication for church-wide content, events, initiatives, etc. </w:t>
      </w:r>
      <w:r w:rsidR="009C588E">
        <w:rPr>
          <w:rFonts w:ascii="Montserrat" w:hAnsi="Montserrat"/>
          <w:sz w:val="20"/>
          <w:szCs w:val="20"/>
        </w:rPr>
        <w:t>We will give thought</w:t>
      </w:r>
      <w:r w:rsidR="00910B44">
        <w:rPr>
          <w:rFonts w:ascii="Montserrat" w:hAnsi="Montserrat"/>
          <w:sz w:val="20"/>
          <w:szCs w:val="20"/>
        </w:rPr>
        <w:t xml:space="preserve"> to</w:t>
      </w:r>
      <w:r w:rsidR="009C588E">
        <w:rPr>
          <w:rFonts w:ascii="Montserrat" w:hAnsi="Montserrat"/>
          <w:sz w:val="20"/>
          <w:szCs w:val="20"/>
        </w:rPr>
        <w:t xml:space="preserve"> not over-communicate or saturate inboxes.</w:t>
      </w:r>
      <w:r w:rsidR="004245D7">
        <w:rPr>
          <w:rFonts w:ascii="Montserrat" w:hAnsi="Montserrat"/>
          <w:sz w:val="20"/>
          <w:szCs w:val="20"/>
        </w:rPr>
        <w:t xml:space="preserve"> </w:t>
      </w:r>
      <w:r w:rsidR="00910B44">
        <w:rPr>
          <w:rFonts w:ascii="Montserrat" w:hAnsi="Montserrat"/>
          <w:sz w:val="20"/>
          <w:szCs w:val="20"/>
        </w:rPr>
        <w:t xml:space="preserve">As an example: </w:t>
      </w:r>
      <w:bookmarkStart w:id="0" w:name="_GoBack"/>
      <w:bookmarkEnd w:id="0"/>
    </w:p>
    <w:p w14:paraId="382454C3" w14:textId="77777777" w:rsidR="004245D7" w:rsidRDefault="004245D7" w:rsidP="004245D7">
      <w:pPr>
        <w:pStyle w:val="ListParagrap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ab/>
      </w:r>
    </w:p>
    <w:p w14:paraId="5B56AFBA" w14:textId="77777777" w:rsidR="004245D7" w:rsidRPr="004245D7" w:rsidRDefault="004245D7" w:rsidP="004245D7">
      <w:pPr>
        <w:pStyle w:val="ListParagrap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ab/>
      </w:r>
    </w:p>
    <w:tbl>
      <w:tblPr>
        <w:tblStyle w:val="TableGrid"/>
        <w:tblW w:w="8792" w:type="dxa"/>
        <w:tblInd w:w="720" w:type="dxa"/>
        <w:tblLook w:val="04A0" w:firstRow="1" w:lastRow="0" w:firstColumn="1" w:lastColumn="0" w:noHBand="0" w:noVBand="1"/>
      </w:tblPr>
      <w:tblGrid>
        <w:gridCol w:w="2932"/>
        <w:gridCol w:w="2926"/>
        <w:gridCol w:w="2934"/>
      </w:tblGrid>
      <w:tr w:rsidR="004245D7" w:rsidRPr="004245D7" w14:paraId="510AB99A" w14:textId="77777777" w:rsidTr="004245D7">
        <w:trPr>
          <w:trHeight w:val="610"/>
        </w:trPr>
        <w:tc>
          <w:tcPr>
            <w:tcW w:w="2932" w:type="dxa"/>
          </w:tcPr>
          <w:p w14:paraId="522A6A34" w14:textId="77777777" w:rsidR="004245D7" w:rsidRPr="004245D7" w:rsidRDefault="004245D7" w:rsidP="004245D7">
            <w:pPr>
              <w:pStyle w:val="ListParagraph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14:paraId="40393139" w14:textId="1F6CE8C2" w:rsidR="004245D7" w:rsidRPr="004245D7" w:rsidRDefault="004245D7" w:rsidP="004245D7">
            <w:pPr>
              <w:pStyle w:val="ListParagraph"/>
              <w:ind w:left="0"/>
              <w:rPr>
                <w:rFonts w:ascii="Montserrat" w:hAnsi="Montserrat"/>
                <w:b/>
                <w:sz w:val="20"/>
                <w:szCs w:val="20"/>
              </w:rPr>
            </w:pPr>
            <w:r w:rsidRPr="004245D7">
              <w:rPr>
                <w:rFonts w:ascii="Montserrat" w:hAnsi="Montserrat"/>
                <w:b/>
                <w:sz w:val="20"/>
                <w:szCs w:val="20"/>
              </w:rPr>
              <w:t xml:space="preserve">Weekly </w:t>
            </w:r>
          </w:p>
        </w:tc>
        <w:tc>
          <w:tcPr>
            <w:tcW w:w="2934" w:type="dxa"/>
          </w:tcPr>
          <w:p w14:paraId="6D221EF6" w14:textId="5A475F8C" w:rsidR="004245D7" w:rsidRPr="004245D7" w:rsidRDefault="004245D7" w:rsidP="004245D7">
            <w:pPr>
              <w:pStyle w:val="ListParagraph"/>
              <w:ind w:left="0"/>
              <w:rPr>
                <w:rFonts w:ascii="Montserrat" w:hAnsi="Montserrat"/>
                <w:b/>
                <w:sz w:val="20"/>
                <w:szCs w:val="20"/>
              </w:rPr>
            </w:pPr>
            <w:r w:rsidRPr="004245D7">
              <w:rPr>
                <w:rFonts w:ascii="Montserrat" w:hAnsi="Montserrat"/>
                <w:b/>
                <w:sz w:val="20"/>
                <w:szCs w:val="20"/>
              </w:rPr>
              <w:t xml:space="preserve">Monthly </w:t>
            </w:r>
          </w:p>
        </w:tc>
      </w:tr>
      <w:tr w:rsidR="004245D7" w:rsidRPr="004245D7" w14:paraId="1F167339" w14:textId="77777777" w:rsidTr="004245D7">
        <w:trPr>
          <w:trHeight w:val="610"/>
        </w:trPr>
        <w:tc>
          <w:tcPr>
            <w:tcW w:w="2932" w:type="dxa"/>
          </w:tcPr>
          <w:p w14:paraId="237F3B10" w14:textId="4B2285DD" w:rsidR="004245D7" w:rsidRPr="004245D7" w:rsidRDefault="004245D7" w:rsidP="004245D7">
            <w:pPr>
              <w:pStyle w:val="ListParagraph"/>
              <w:ind w:left="0"/>
              <w:rPr>
                <w:rFonts w:ascii="Montserrat" w:hAnsi="Montserrat"/>
                <w:b/>
                <w:sz w:val="20"/>
                <w:szCs w:val="20"/>
              </w:rPr>
            </w:pPr>
            <w:r w:rsidRPr="004245D7">
              <w:rPr>
                <w:rFonts w:ascii="Montserrat" w:hAnsi="Montserrat"/>
                <w:b/>
                <w:sz w:val="20"/>
                <w:szCs w:val="20"/>
              </w:rPr>
              <w:t xml:space="preserve">Central </w:t>
            </w:r>
          </w:p>
        </w:tc>
        <w:tc>
          <w:tcPr>
            <w:tcW w:w="2926" w:type="dxa"/>
          </w:tcPr>
          <w:p w14:paraId="6309A0CA" w14:textId="1F03A278" w:rsidR="004245D7" w:rsidRPr="004245D7" w:rsidRDefault="00DB23AE" w:rsidP="004245D7">
            <w:pPr>
              <w:pStyle w:val="ListParagraph"/>
              <w:ind w:left="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Occasionally </w:t>
            </w:r>
            <w:r w:rsidR="00910B44">
              <w:rPr>
                <w:rFonts w:ascii="Montserrat" w:hAnsi="Montserrat"/>
                <w:sz w:val="20"/>
                <w:szCs w:val="20"/>
              </w:rPr>
              <w:t>(Ex. O</w:t>
            </w:r>
            <w:r>
              <w:rPr>
                <w:rFonts w:ascii="Montserrat" w:hAnsi="Montserrat"/>
                <w:sz w:val="20"/>
                <w:szCs w:val="20"/>
              </w:rPr>
              <w:t xml:space="preserve">pt-In Campaign) </w:t>
            </w:r>
          </w:p>
        </w:tc>
        <w:tc>
          <w:tcPr>
            <w:tcW w:w="2934" w:type="dxa"/>
          </w:tcPr>
          <w:p w14:paraId="036A4645" w14:textId="26A78F3D" w:rsidR="004245D7" w:rsidRPr="004245D7" w:rsidRDefault="00DB23AE" w:rsidP="004245D7">
            <w:pPr>
              <w:pStyle w:val="ListParagraph"/>
              <w:ind w:left="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Regularly</w:t>
            </w:r>
            <w:r w:rsidR="004245D7" w:rsidRPr="004245D7">
              <w:rPr>
                <w:rFonts w:ascii="Montserrat" w:hAnsi="Montserrat"/>
                <w:sz w:val="20"/>
                <w:szCs w:val="20"/>
              </w:rPr>
              <w:t xml:space="preserve"> </w:t>
            </w:r>
          </w:p>
        </w:tc>
      </w:tr>
      <w:tr w:rsidR="004245D7" w:rsidRPr="004245D7" w14:paraId="1470E9FC" w14:textId="77777777" w:rsidTr="004245D7">
        <w:trPr>
          <w:trHeight w:val="610"/>
        </w:trPr>
        <w:tc>
          <w:tcPr>
            <w:tcW w:w="2932" w:type="dxa"/>
          </w:tcPr>
          <w:p w14:paraId="3B4F275A" w14:textId="0440377F" w:rsidR="004245D7" w:rsidRPr="004245D7" w:rsidRDefault="004245D7" w:rsidP="004245D7">
            <w:pPr>
              <w:pStyle w:val="ListParagraph"/>
              <w:ind w:left="0"/>
              <w:rPr>
                <w:rFonts w:ascii="Montserrat" w:hAnsi="Montserrat"/>
                <w:b/>
                <w:sz w:val="20"/>
                <w:szCs w:val="20"/>
              </w:rPr>
            </w:pPr>
            <w:r w:rsidRPr="004245D7">
              <w:rPr>
                <w:rFonts w:ascii="Montserrat" w:hAnsi="Montserrat"/>
                <w:b/>
                <w:sz w:val="20"/>
                <w:szCs w:val="20"/>
              </w:rPr>
              <w:t xml:space="preserve">Campus </w:t>
            </w:r>
          </w:p>
        </w:tc>
        <w:tc>
          <w:tcPr>
            <w:tcW w:w="2926" w:type="dxa"/>
          </w:tcPr>
          <w:p w14:paraId="66A572C5" w14:textId="6EAFFC03" w:rsidR="004245D7" w:rsidRPr="00B80A1F" w:rsidRDefault="004245D7" w:rsidP="004245D7">
            <w:pPr>
              <w:pStyle w:val="ListParagraph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934" w:type="dxa"/>
          </w:tcPr>
          <w:p w14:paraId="7430EFEA" w14:textId="682A0FD4" w:rsidR="004245D7" w:rsidRPr="00DB23AE" w:rsidRDefault="00DB23AE" w:rsidP="00DB23AE">
            <w:pPr>
              <w:pStyle w:val="ListParagraph"/>
              <w:ind w:left="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Occasionally (Ex. Child Dedication) </w:t>
            </w:r>
          </w:p>
        </w:tc>
      </w:tr>
      <w:tr w:rsidR="004245D7" w:rsidRPr="004245D7" w14:paraId="6C712032" w14:textId="77777777" w:rsidTr="004245D7">
        <w:trPr>
          <w:trHeight w:val="571"/>
        </w:trPr>
        <w:tc>
          <w:tcPr>
            <w:tcW w:w="2932" w:type="dxa"/>
          </w:tcPr>
          <w:p w14:paraId="4ACD1355" w14:textId="42A890D3" w:rsidR="004245D7" w:rsidRPr="004245D7" w:rsidRDefault="004245D7" w:rsidP="004245D7">
            <w:pPr>
              <w:pStyle w:val="ListParagraph"/>
              <w:ind w:left="0"/>
              <w:rPr>
                <w:rFonts w:ascii="Montserrat" w:hAnsi="Montserrat"/>
                <w:b/>
                <w:sz w:val="20"/>
                <w:szCs w:val="20"/>
              </w:rPr>
            </w:pPr>
            <w:r w:rsidRPr="004245D7">
              <w:rPr>
                <w:rFonts w:ascii="Montserrat" w:hAnsi="Montserrat"/>
                <w:b/>
                <w:sz w:val="20"/>
                <w:szCs w:val="20"/>
              </w:rPr>
              <w:t xml:space="preserve">Group Leader </w:t>
            </w:r>
          </w:p>
        </w:tc>
        <w:tc>
          <w:tcPr>
            <w:tcW w:w="2926" w:type="dxa"/>
          </w:tcPr>
          <w:p w14:paraId="386B72DB" w14:textId="400D1A9F" w:rsidR="004245D7" w:rsidRPr="00DB23AE" w:rsidRDefault="00DB23AE" w:rsidP="004245D7">
            <w:pPr>
              <w:pStyle w:val="ListParagraph"/>
              <w:ind w:left="0"/>
              <w:rPr>
                <w:rFonts w:ascii="Montserrat" w:hAnsi="Montserrat"/>
                <w:sz w:val="20"/>
                <w:szCs w:val="20"/>
              </w:rPr>
            </w:pPr>
            <w:r w:rsidRPr="00DB23AE">
              <w:rPr>
                <w:rFonts w:ascii="Montserrat" w:hAnsi="Montserrat"/>
                <w:sz w:val="20"/>
                <w:szCs w:val="20"/>
              </w:rPr>
              <w:t xml:space="preserve">Occasionally </w:t>
            </w:r>
          </w:p>
        </w:tc>
        <w:tc>
          <w:tcPr>
            <w:tcW w:w="2934" w:type="dxa"/>
          </w:tcPr>
          <w:p w14:paraId="0D220045" w14:textId="34DFC2D5" w:rsidR="004245D7" w:rsidRPr="00DB23AE" w:rsidRDefault="00DB23AE" w:rsidP="004245D7">
            <w:pPr>
              <w:pStyle w:val="ListParagraph"/>
              <w:ind w:left="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Regularly </w:t>
            </w:r>
          </w:p>
        </w:tc>
      </w:tr>
    </w:tbl>
    <w:p w14:paraId="46307EC3" w14:textId="372EEBDB" w:rsidR="003373D7" w:rsidRDefault="00B6255D" w:rsidP="004245D7">
      <w:pPr>
        <w:pStyle w:val="ListParagraph"/>
        <w:rPr>
          <w:rFonts w:ascii="Montserrat" w:hAnsi="Montserrat"/>
          <w:b/>
          <w:sz w:val="20"/>
          <w:szCs w:val="20"/>
        </w:rPr>
      </w:pPr>
      <w:r w:rsidRPr="004245D7">
        <w:rPr>
          <w:rFonts w:ascii="Montserrat" w:hAnsi="Montserrat"/>
          <w:b/>
          <w:sz w:val="20"/>
          <w:szCs w:val="20"/>
        </w:rPr>
        <w:br/>
      </w:r>
    </w:p>
    <w:p w14:paraId="4653ACFA" w14:textId="77777777" w:rsidR="008D3347" w:rsidRDefault="008D3347"/>
    <w:sectPr w:rsidR="008D3347" w:rsidSect="00A75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ontserrat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7108B"/>
    <w:multiLevelType w:val="hybridMultilevel"/>
    <w:tmpl w:val="A6BCF700"/>
    <w:lvl w:ilvl="0" w:tplc="F7E4AB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040039"/>
    <w:multiLevelType w:val="hybridMultilevel"/>
    <w:tmpl w:val="8C7E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73B11"/>
    <w:multiLevelType w:val="hybridMultilevel"/>
    <w:tmpl w:val="E8826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40919A">
      <w:numFmt w:val="bullet"/>
      <w:lvlText w:val="-"/>
      <w:lvlJc w:val="left"/>
      <w:pPr>
        <w:ind w:left="2160" w:hanging="360"/>
      </w:pPr>
      <w:rPr>
        <w:rFonts w:ascii="Montserrat" w:eastAsiaTheme="minorHAnsi" w:hAnsi="Montserrat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D5487"/>
    <w:multiLevelType w:val="hybridMultilevel"/>
    <w:tmpl w:val="C26C2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D7"/>
    <w:rsid w:val="000312D8"/>
    <w:rsid w:val="0019396D"/>
    <w:rsid w:val="003373D7"/>
    <w:rsid w:val="004245D7"/>
    <w:rsid w:val="006C06A6"/>
    <w:rsid w:val="00767400"/>
    <w:rsid w:val="008D3347"/>
    <w:rsid w:val="00910B44"/>
    <w:rsid w:val="009C588E"/>
    <w:rsid w:val="00A7569D"/>
    <w:rsid w:val="00B6255D"/>
    <w:rsid w:val="00B80A1F"/>
    <w:rsid w:val="00DB23AE"/>
    <w:rsid w:val="00E42F64"/>
    <w:rsid w:val="00FA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9BE2CE"/>
  <w14:defaultImageDpi w14:val="32767"/>
  <w15:chartTrackingRefBased/>
  <w15:docId w15:val="{7369BE9F-9EDC-F048-B896-FF3D5574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7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3D7"/>
    <w:pPr>
      <w:ind w:left="720"/>
      <w:contextualSpacing/>
    </w:pPr>
  </w:style>
  <w:style w:type="table" w:styleId="TableGrid">
    <w:name w:val="Table Grid"/>
    <w:basedOn w:val="TableNormal"/>
    <w:uiPriority w:val="39"/>
    <w:rsid w:val="00424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buchersarahc@gmail.com</dc:creator>
  <cp:keywords/>
  <dc:description/>
  <cp:lastModifiedBy>Sarah Bucher</cp:lastModifiedBy>
  <cp:revision>10</cp:revision>
  <dcterms:created xsi:type="dcterms:W3CDTF">2021-09-23T17:38:00Z</dcterms:created>
  <dcterms:modified xsi:type="dcterms:W3CDTF">2021-10-01T00:06:00Z</dcterms:modified>
</cp:coreProperties>
</file>